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Wöchentl./Tägl.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Wöchentl./Tägl.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wöchentl.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2195">
              <w:rPr>
                <w:rFonts w:ascii="Verdana" w:hAnsi="Verdana"/>
                <w:sz w:val="16"/>
                <w:szCs w:val="16"/>
              </w:rPr>
            </w:r>
            <w:r w:rsidR="00DC219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01D8ED79" w:rsidR="002A3AD3" w:rsidRPr="00891072" w:rsidRDefault="00DC2195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A1AE570" wp14:editId="74E0F984">
                <wp:extent cx="1076325" cy="609600"/>
                <wp:effectExtent l="0" t="0" r="9525" b="0"/>
                <wp:docPr id="1" name="Bild 1" descr="WEB_Logo mit Na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B_Logo mit Na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C2195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2024-12-11T09:06:00Z</dcterms:modified>
</cp:coreProperties>
</file>